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E324" w14:textId="22915E09" w:rsidR="00355A89" w:rsidRPr="00355A89" w:rsidRDefault="00355A89" w:rsidP="00355A89">
      <w:pPr>
        <w:ind w:left="720" w:firstLine="720"/>
        <w:jc w:val="center"/>
        <w:rPr>
          <w:sz w:val="24"/>
          <w:szCs w:val="24"/>
        </w:rPr>
      </w:pPr>
      <w:r w:rsidRPr="00355A89">
        <w:rPr>
          <w:noProof/>
          <w:sz w:val="24"/>
          <w:szCs w:val="24"/>
        </w:rPr>
        <w:drawing>
          <wp:anchor distT="0" distB="0" distL="114300" distR="114300" simplePos="0" relativeHeight="251658240" behindDoc="0" locked="0" layoutInCell="1" allowOverlap="1" wp14:anchorId="4FE74132" wp14:editId="061E1C14">
            <wp:simplePos x="0" y="0"/>
            <wp:positionH relativeFrom="margin">
              <wp:posOffset>457200</wp:posOffset>
            </wp:positionH>
            <wp:positionV relativeFrom="paragraph">
              <wp:posOffset>-213360</wp:posOffset>
            </wp:positionV>
            <wp:extent cx="769620" cy="929055"/>
            <wp:effectExtent l="0" t="0" r="0" b="4445"/>
            <wp:wrapNone/>
            <wp:docPr id="69074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40654" name="Picture 690740654"/>
                    <pic:cNvPicPr/>
                  </pic:nvPicPr>
                  <pic:blipFill rotWithShape="1">
                    <a:blip r:embed="rId4">
                      <a:extLst>
                        <a:ext uri="{28A0092B-C50C-407E-A947-70E740481C1C}">
                          <a14:useLocalDpi xmlns:a14="http://schemas.microsoft.com/office/drawing/2010/main" val="0"/>
                        </a:ext>
                      </a:extLst>
                    </a:blip>
                    <a:srcRect r="12743"/>
                    <a:stretch>
                      <a:fillRect/>
                    </a:stretch>
                  </pic:blipFill>
                  <pic:spPr bwMode="auto">
                    <a:xfrm>
                      <a:off x="0" y="0"/>
                      <a:ext cx="769620" cy="929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A89">
        <w:rPr>
          <w:sz w:val="24"/>
          <w:szCs w:val="24"/>
        </w:rPr>
        <w:t>Member’s Carers</w:t>
      </w:r>
      <w:r>
        <w:rPr>
          <w:sz w:val="24"/>
          <w:szCs w:val="24"/>
        </w:rPr>
        <w:t xml:space="preserve"> - Guidance</w:t>
      </w:r>
    </w:p>
    <w:p w14:paraId="325E0E7F" w14:textId="77777777" w:rsidR="00355A89" w:rsidRPr="00355A89" w:rsidRDefault="00355A89" w:rsidP="00355A89">
      <w:pPr>
        <w:ind w:left="720" w:firstLine="720"/>
        <w:rPr>
          <w:sz w:val="24"/>
          <w:szCs w:val="24"/>
        </w:rPr>
      </w:pPr>
    </w:p>
    <w:p w14:paraId="45A1C189" w14:textId="77777777" w:rsidR="00355A89" w:rsidRDefault="00355A89" w:rsidP="00355A89">
      <w:pPr>
        <w:ind w:left="720" w:firstLine="720"/>
        <w:rPr>
          <w:sz w:val="24"/>
          <w:szCs w:val="24"/>
        </w:rPr>
      </w:pPr>
    </w:p>
    <w:p w14:paraId="792DFFE8" w14:textId="77777777" w:rsidR="00355A89" w:rsidRDefault="00355A89" w:rsidP="00355A89">
      <w:pPr>
        <w:ind w:left="720" w:firstLine="720"/>
        <w:rPr>
          <w:rFonts w:cstheme="minorHAnsi"/>
          <w:sz w:val="24"/>
          <w:szCs w:val="24"/>
        </w:rPr>
      </w:pPr>
      <w:r w:rsidRPr="00355A89">
        <w:rPr>
          <w:rFonts w:cstheme="minorHAnsi"/>
          <w:sz w:val="24"/>
          <w:szCs w:val="24"/>
        </w:rPr>
        <w:t xml:space="preserve">TG </w:t>
      </w:r>
      <w:r>
        <w:rPr>
          <w:rFonts w:cstheme="minorHAnsi"/>
          <w:sz w:val="24"/>
          <w:szCs w:val="24"/>
        </w:rPr>
        <w:t>should</w:t>
      </w:r>
      <w:r w:rsidRPr="00355A89">
        <w:rPr>
          <w:rFonts w:cstheme="minorHAnsi"/>
          <w:sz w:val="24"/>
          <w:szCs w:val="24"/>
        </w:rPr>
        <w:t xml:space="preserve"> be as open as possible to all members and in order to do so, some members may need to be accompanied to meetings, outings and other activities by their carer. </w:t>
      </w:r>
    </w:p>
    <w:p w14:paraId="0E3FF9BC" w14:textId="77777777" w:rsidR="00355A89" w:rsidRDefault="00355A89" w:rsidP="00355A89">
      <w:pPr>
        <w:ind w:left="720" w:firstLine="720"/>
        <w:rPr>
          <w:rFonts w:cstheme="minorHAnsi"/>
          <w:sz w:val="24"/>
          <w:szCs w:val="24"/>
        </w:rPr>
      </w:pPr>
      <w:r w:rsidRPr="00355A89">
        <w:rPr>
          <w:rFonts w:cstheme="minorHAnsi"/>
          <w:sz w:val="24"/>
          <w:szCs w:val="24"/>
        </w:rPr>
        <w:t>The Department of Health</w:t>
      </w:r>
      <w:r>
        <w:rPr>
          <w:rFonts w:ascii="Roboto" w:hAnsi="Roboto"/>
          <w:color w:val="0A0A0A"/>
          <w:shd w:val="clear" w:color="auto" w:fill="FFFFFF"/>
        </w:rPr>
        <w:t xml:space="preserve"> and the NHS defines a carer as someone who provides </w:t>
      </w:r>
      <w:r>
        <w:rPr>
          <w:rStyle w:val="Strong"/>
          <w:rFonts w:ascii="Roboto" w:hAnsi="Roboto"/>
          <w:color w:val="0A0A0A"/>
          <w:shd w:val="clear" w:color="auto" w:fill="FFFFFF"/>
        </w:rPr>
        <w:t>unpaid, regular, substantial care for a family member, partner, or friend</w:t>
      </w:r>
      <w:r>
        <w:rPr>
          <w:rFonts w:ascii="Roboto" w:hAnsi="Roboto"/>
          <w:color w:val="0A0A0A"/>
          <w:shd w:val="clear" w:color="auto" w:fill="FFFFFF"/>
        </w:rPr>
        <w:t> who needs help due to illness, disability, frailty, or mental health issues, covering tasks from personal care (washing, dressing) to emotional support and managing finances, distinct from paid care workers. </w:t>
      </w:r>
    </w:p>
    <w:p w14:paraId="5CB7491D" w14:textId="77777777" w:rsidR="00355A89" w:rsidRDefault="00355A89" w:rsidP="00355A89">
      <w:pPr>
        <w:ind w:left="720" w:firstLine="720"/>
        <w:rPr>
          <w:rFonts w:cstheme="minorHAnsi"/>
          <w:sz w:val="24"/>
          <w:szCs w:val="24"/>
        </w:rPr>
      </w:pPr>
      <w:r w:rsidRPr="00355A89">
        <w:rPr>
          <w:rFonts w:cstheme="minorHAnsi"/>
          <w:sz w:val="24"/>
          <w:szCs w:val="24"/>
        </w:rPr>
        <w:t xml:space="preserve"> If the carer is a TG member, they must pay the usual a</w:t>
      </w:r>
      <w:r>
        <w:rPr>
          <w:rFonts w:cstheme="minorHAnsi"/>
          <w:sz w:val="24"/>
          <w:szCs w:val="24"/>
        </w:rPr>
        <w:t>ff</w:t>
      </w:r>
      <w:r w:rsidRPr="00355A89">
        <w:rPr>
          <w:rFonts w:cstheme="minorHAnsi"/>
          <w:sz w:val="24"/>
          <w:szCs w:val="24"/>
        </w:rPr>
        <w:t>iliation fee and can take part in all of the Guild discussions and decision making.</w:t>
      </w:r>
    </w:p>
    <w:p w14:paraId="7AC12927" w14:textId="77777777" w:rsidR="00AB6B7E" w:rsidRDefault="00355A89" w:rsidP="00AB6B7E">
      <w:pPr>
        <w:ind w:left="720" w:firstLine="720"/>
        <w:rPr>
          <w:rFonts w:cstheme="minorHAnsi"/>
          <w:sz w:val="24"/>
          <w:szCs w:val="24"/>
        </w:rPr>
      </w:pPr>
      <w:r w:rsidRPr="00355A89">
        <w:rPr>
          <w:rFonts w:cstheme="minorHAnsi"/>
          <w:sz w:val="24"/>
          <w:szCs w:val="24"/>
        </w:rPr>
        <w:t xml:space="preserve"> </w:t>
      </w:r>
      <w:r w:rsidR="00AB6B7E">
        <w:rPr>
          <w:rFonts w:cstheme="minorHAnsi"/>
          <w:sz w:val="24"/>
          <w:szCs w:val="24"/>
        </w:rPr>
        <w:t xml:space="preserve">It </w:t>
      </w:r>
      <w:r w:rsidRPr="00355A89">
        <w:rPr>
          <w:rFonts w:cstheme="minorHAnsi"/>
          <w:sz w:val="24"/>
          <w:szCs w:val="24"/>
        </w:rPr>
        <w:t xml:space="preserve">is the Guild’s decision whether they wish to allow </w:t>
      </w:r>
      <w:r w:rsidR="00AB6B7E">
        <w:rPr>
          <w:rFonts w:cstheme="minorHAnsi"/>
          <w:sz w:val="24"/>
          <w:szCs w:val="24"/>
        </w:rPr>
        <w:t>a carer</w:t>
      </w:r>
      <w:r w:rsidRPr="00355A89">
        <w:rPr>
          <w:rFonts w:cstheme="minorHAnsi"/>
          <w:sz w:val="24"/>
          <w:szCs w:val="24"/>
        </w:rPr>
        <w:t xml:space="preserve"> to come into the meeting space and / or go to outings and events. </w:t>
      </w:r>
    </w:p>
    <w:p w14:paraId="51D1ED2C" w14:textId="23ED37BB" w:rsidR="00AB6B7E" w:rsidRDefault="00355A89" w:rsidP="00AB6B7E">
      <w:pPr>
        <w:ind w:left="720" w:firstLine="720"/>
        <w:rPr>
          <w:sz w:val="24"/>
          <w:szCs w:val="24"/>
        </w:rPr>
      </w:pPr>
      <w:r w:rsidRPr="00355A89">
        <w:rPr>
          <w:rFonts w:cstheme="minorHAnsi"/>
          <w:sz w:val="24"/>
          <w:szCs w:val="24"/>
        </w:rPr>
        <w:t xml:space="preserve">The Guild should look at making reasonable alternative arrangements if they do not want the carer in the meeting and /or event. The carer could help the </w:t>
      </w:r>
      <w:r w:rsidR="0080314D">
        <w:rPr>
          <w:rFonts w:cstheme="minorHAnsi"/>
          <w:sz w:val="24"/>
          <w:szCs w:val="24"/>
        </w:rPr>
        <w:t>m</w:t>
      </w:r>
      <w:r w:rsidRPr="00355A89">
        <w:rPr>
          <w:rFonts w:cstheme="minorHAnsi"/>
          <w:sz w:val="24"/>
          <w:szCs w:val="24"/>
        </w:rPr>
        <w:t xml:space="preserve">ember in and </w:t>
      </w:r>
      <w:r w:rsidRPr="00355A89">
        <w:rPr>
          <w:sz w:val="24"/>
          <w:szCs w:val="24"/>
        </w:rPr>
        <w:t>out of the meeting and /or event and be on-hand in a nearby room or building with clearly written and agreed contact arrangements in case they are needed.</w:t>
      </w:r>
    </w:p>
    <w:p w14:paraId="58621151" w14:textId="56127FF3" w:rsidR="00AB6B7E" w:rsidRDefault="00AB6B7E" w:rsidP="00AB6B7E">
      <w:pPr>
        <w:ind w:left="720" w:firstLine="720"/>
        <w:rPr>
          <w:rFonts w:cstheme="minorHAnsi"/>
          <w:sz w:val="24"/>
          <w:szCs w:val="24"/>
        </w:rPr>
      </w:pPr>
      <w:r w:rsidRPr="00355A89">
        <w:rPr>
          <w:rFonts w:cstheme="minorHAnsi"/>
          <w:sz w:val="24"/>
          <w:szCs w:val="24"/>
        </w:rPr>
        <w:t xml:space="preserve">If the carer is not a member and </w:t>
      </w:r>
      <w:r>
        <w:rPr>
          <w:rFonts w:cstheme="minorHAnsi"/>
          <w:sz w:val="24"/>
          <w:szCs w:val="24"/>
        </w:rPr>
        <w:t xml:space="preserve">is allowed into the meeting, </w:t>
      </w:r>
      <w:r w:rsidRPr="00355A89">
        <w:rPr>
          <w:rFonts w:cstheme="minorHAnsi"/>
          <w:sz w:val="24"/>
          <w:szCs w:val="24"/>
        </w:rPr>
        <w:t xml:space="preserve">they can attend with the member free of charge and they should not be charged a visitor’s fee. In this case, the carer cannot take part in any discussions, decision making or voting. </w:t>
      </w:r>
    </w:p>
    <w:p w14:paraId="49C4F6A8" w14:textId="77777777" w:rsidR="00AB6B7E" w:rsidRDefault="00AB6B7E" w:rsidP="00AB6B7E">
      <w:pPr>
        <w:ind w:left="720" w:firstLine="720"/>
        <w:rPr>
          <w:rFonts w:cstheme="minorHAnsi"/>
          <w:sz w:val="24"/>
          <w:szCs w:val="24"/>
        </w:rPr>
      </w:pPr>
      <w:r w:rsidRPr="00355A89">
        <w:rPr>
          <w:rFonts w:cstheme="minorHAnsi"/>
          <w:sz w:val="24"/>
          <w:szCs w:val="24"/>
        </w:rPr>
        <w:t xml:space="preserve">If a member with a carer wishes to go to an event not solely organised by the Guild but through another organisation or company, the Guild should ask that organisation or company about their policy regarding carers and pass that on to the member. </w:t>
      </w:r>
    </w:p>
    <w:p w14:paraId="5F9B0029" w14:textId="77777777" w:rsidR="00AB6B7E" w:rsidRDefault="00AB6B7E" w:rsidP="00AB6B7E">
      <w:pPr>
        <w:ind w:left="720" w:firstLine="720"/>
        <w:rPr>
          <w:sz w:val="24"/>
          <w:szCs w:val="24"/>
        </w:rPr>
      </w:pPr>
    </w:p>
    <w:p w14:paraId="29DEDDB6" w14:textId="7B9B96E3" w:rsidR="00435DFF" w:rsidRPr="00AB6B7E" w:rsidRDefault="00355A89" w:rsidP="00AB6B7E">
      <w:pPr>
        <w:ind w:left="720" w:firstLine="720"/>
        <w:rPr>
          <w:rFonts w:cstheme="minorHAnsi"/>
          <w:sz w:val="24"/>
          <w:szCs w:val="24"/>
        </w:rPr>
      </w:pPr>
      <w:r w:rsidRPr="00355A89">
        <w:rPr>
          <w:sz w:val="24"/>
          <w:szCs w:val="24"/>
        </w:rPr>
        <w:t xml:space="preserve"> </w:t>
      </w:r>
    </w:p>
    <w:p w14:paraId="2D9D9AA8" w14:textId="77777777" w:rsidR="00AB6B7E" w:rsidRPr="00355A89" w:rsidRDefault="00AB6B7E" w:rsidP="00355A89">
      <w:pPr>
        <w:ind w:left="720" w:firstLine="720"/>
        <w:rPr>
          <w:rFonts w:cstheme="minorHAnsi"/>
          <w:sz w:val="24"/>
          <w:szCs w:val="24"/>
        </w:rPr>
      </w:pPr>
    </w:p>
    <w:sectPr w:rsidR="00AB6B7E" w:rsidRPr="00355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89"/>
    <w:rsid w:val="00245F55"/>
    <w:rsid w:val="00355A89"/>
    <w:rsid w:val="00435DFF"/>
    <w:rsid w:val="0080314D"/>
    <w:rsid w:val="00AB6B7E"/>
    <w:rsid w:val="00C2706F"/>
    <w:rsid w:val="00EC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8F1C"/>
  <w15:chartTrackingRefBased/>
  <w15:docId w15:val="{12B30FE0-75E1-4761-897A-AB2FB1FB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A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A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A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A89"/>
    <w:rPr>
      <w:rFonts w:eastAsiaTheme="majorEastAsia" w:cstheme="majorBidi"/>
      <w:color w:val="272727" w:themeColor="text1" w:themeTint="D8"/>
    </w:rPr>
  </w:style>
  <w:style w:type="paragraph" w:styleId="Title">
    <w:name w:val="Title"/>
    <w:basedOn w:val="Normal"/>
    <w:next w:val="Normal"/>
    <w:link w:val="TitleChar"/>
    <w:uiPriority w:val="10"/>
    <w:qFormat/>
    <w:rsid w:val="00355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A89"/>
    <w:pPr>
      <w:spacing w:before="160"/>
      <w:jc w:val="center"/>
    </w:pPr>
    <w:rPr>
      <w:i/>
      <w:iCs/>
      <w:color w:val="404040" w:themeColor="text1" w:themeTint="BF"/>
    </w:rPr>
  </w:style>
  <w:style w:type="character" w:customStyle="1" w:styleId="QuoteChar">
    <w:name w:val="Quote Char"/>
    <w:basedOn w:val="DefaultParagraphFont"/>
    <w:link w:val="Quote"/>
    <w:uiPriority w:val="29"/>
    <w:rsid w:val="00355A89"/>
    <w:rPr>
      <w:i/>
      <w:iCs/>
      <w:color w:val="404040" w:themeColor="text1" w:themeTint="BF"/>
    </w:rPr>
  </w:style>
  <w:style w:type="paragraph" w:styleId="ListParagraph">
    <w:name w:val="List Paragraph"/>
    <w:basedOn w:val="Normal"/>
    <w:uiPriority w:val="34"/>
    <w:qFormat/>
    <w:rsid w:val="00355A89"/>
    <w:pPr>
      <w:ind w:left="720"/>
      <w:contextualSpacing/>
    </w:pPr>
  </w:style>
  <w:style w:type="character" w:styleId="IntenseEmphasis">
    <w:name w:val="Intense Emphasis"/>
    <w:basedOn w:val="DefaultParagraphFont"/>
    <w:uiPriority w:val="21"/>
    <w:qFormat/>
    <w:rsid w:val="00355A89"/>
    <w:rPr>
      <w:i/>
      <w:iCs/>
      <w:color w:val="2F5496" w:themeColor="accent1" w:themeShade="BF"/>
    </w:rPr>
  </w:style>
  <w:style w:type="paragraph" w:styleId="IntenseQuote">
    <w:name w:val="Intense Quote"/>
    <w:basedOn w:val="Normal"/>
    <w:next w:val="Normal"/>
    <w:link w:val="IntenseQuoteChar"/>
    <w:uiPriority w:val="30"/>
    <w:qFormat/>
    <w:rsid w:val="00355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A89"/>
    <w:rPr>
      <w:i/>
      <w:iCs/>
      <w:color w:val="2F5496" w:themeColor="accent1" w:themeShade="BF"/>
    </w:rPr>
  </w:style>
  <w:style w:type="character" w:styleId="IntenseReference">
    <w:name w:val="Intense Reference"/>
    <w:basedOn w:val="DefaultParagraphFont"/>
    <w:uiPriority w:val="32"/>
    <w:qFormat/>
    <w:rsid w:val="00355A89"/>
    <w:rPr>
      <w:b/>
      <w:bCs/>
      <w:smallCaps/>
      <w:color w:val="2F5496" w:themeColor="accent1" w:themeShade="BF"/>
      <w:spacing w:val="5"/>
    </w:rPr>
  </w:style>
  <w:style w:type="character" w:styleId="Hyperlink">
    <w:name w:val="Hyperlink"/>
    <w:basedOn w:val="DefaultParagraphFont"/>
    <w:uiPriority w:val="99"/>
    <w:semiHidden/>
    <w:unhideWhenUsed/>
    <w:rsid w:val="00355A89"/>
    <w:rPr>
      <w:color w:val="0000FF"/>
      <w:u w:val="single"/>
    </w:rPr>
  </w:style>
  <w:style w:type="character" w:styleId="Strong">
    <w:name w:val="Strong"/>
    <w:basedOn w:val="DefaultParagraphFont"/>
    <w:uiPriority w:val="22"/>
    <w:qFormat/>
    <w:rsid w:val="00355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Hales</dc:creator>
  <cp:keywords/>
  <dc:description/>
  <cp:lastModifiedBy>Rhiannon Batsford</cp:lastModifiedBy>
  <cp:revision>2</cp:revision>
  <dcterms:created xsi:type="dcterms:W3CDTF">2025-12-08T11:04:00Z</dcterms:created>
  <dcterms:modified xsi:type="dcterms:W3CDTF">2025-12-08T11:04:00Z</dcterms:modified>
</cp:coreProperties>
</file>